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pPr>
      <w:r>
        <w:rPr>
          <w:lang w:eastAsia="en-US"/>
        </w:rPr>
        <w:t>Persondatapolitik for Blans Vandværk</w:t>
      </w:r>
    </w:p>
    <w:p>
      <w:pPr>
        <w:pStyle w:val="Normal"/>
        <w:rPr>
          <w:rFonts w:ascii="Calibri" w:hAnsi="Calibri" w:eastAsia="Calibri" w:cs="Times New Roman"/>
          <w:sz w:val="22"/>
          <w:szCs w:val="22"/>
          <w:lang w:eastAsia="en-US"/>
        </w:rPr>
      </w:pPr>
      <w:r>
        <w:rPr>
          <w:rFonts w:eastAsia="Calibri" w:cs="Times New Roman"/>
          <w:sz w:val="22"/>
          <w:szCs w:val="22"/>
          <w:lang w:eastAsia="en-US"/>
        </w:rPr>
      </w:r>
      <w:r>
        <w:br w:type="page"/>
      </w:r>
    </w:p>
    <w:p>
      <w:pPr>
        <w:pStyle w:val="Normal"/>
        <w:keepNext w:val="true"/>
        <w:keepLines/>
        <w:numPr>
          <w:ilvl w:val="0"/>
          <w:numId w:val="0"/>
        </w:numPr>
        <w:spacing w:lineRule="auto" w:line="259" w:before="40" w:after="0"/>
        <w:outlineLvl w:val="1"/>
        <w:rPr/>
      </w:pPr>
      <w:r>
        <w:rPr>
          <w:rFonts w:eastAsia="Times New Roman" w:cs="Times New Roman" w:ascii="Calibri Light" w:hAnsi="Calibri Light"/>
          <w:b/>
          <w:color w:val="2E74B5"/>
          <w:sz w:val="26"/>
          <w:szCs w:val="26"/>
          <w:lang w:eastAsia="en-US"/>
        </w:rPr>
        <w:t>Introduktion</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t xml:space="preserve">For at kunne levere vandforsyning er der vigtige personoplysninger, vi har behov for at behandle. Vores persondatapolitik er ment som en hjælp til at forstå, hvilke data vi indsamler, hvorfor vi indsamler dem, og hvad vi anvender dem til. Dette er vigtige oplysninger, så vi håber, at du vil tage dig tid til at læse dem. </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t>Skulle du have spørgsmål, eller ønsker du yderligere information, er du velkommen til at henvende dig til vores persondataansvarlige:</w:t>
      </w:r>
    </w:p>
    <w:p>
      <w:pPr>
        <w:pStyle w:val="Normal"/>
        <w:keepNext w:val="true"/>
        <w:keepLines/>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r>
        <w:rPr>
          <w:rFonts w:eastAsia="Times New Roman" w:cs="Times New Roman" w:ascii="Calibri Light" w:hAnsi="Calibri Light"/>
          <w:b/>
          <w:color w:val="2E74B5"/>
          <w:sz w:val="26"/>
          <w:szCs w:val="26"/>
          <w:lang w:eastAsia="en-US"/>
        </w:rPr>
      </w:r>
    </w:p>
    <w:p>
      <w:pPr>
        <w:pStyle w:val="Normal"/>
        <w:keepNext w:val="true"/>
        <w:keepLines/>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bookmarkStart w:id="0" w:name="_Toc477080808"/>
      <w:bookmarkEnd w:id="0"/>
      <w:r>
        <w:rPr>
          <w:rFonts w:eastAsia="Times New Roman" w:cs="Times New Roman" w:ascii="Calibri Light" w:hAnsi="Calibri Light"/>
          <w:b/>
          <w:color w:val="2E74B5"/>
          <w:sz w:val="26"/>
          <w:szCs w:val="26"/>
          <w:lang w:eastAsia="en-US"/>
        </w:rPr>
        <w:t>Kontaktoplysninger på persondataansvarlig</w:t>
      </w:r>
    </w:p>
    <w:p>
      <w:pPr>
        <w:pStyle w:val="Normal"/>
        <w:rPr/>
      </w:pPr>
      <w:r>
        <w:rPr>
          <w:lang w:eastAsia="en-US"/>
        </w:rPr>
        <w:t>Gerda Kristensen, Tlf: 3011 7446, BlansVV@toensberg.dk</w:t>
      </w:r>
    </w:p>
    <w:p>
      <w:pPr>
        <w:pStyle w:val="Normal"/>
        <w:keepNext w:val="true"/>
        <w:keepLines/>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r>
        <w:rPr>
          <w:rFonts w:eastAsia="Times New Roman" w:cs="Times New Roman" w:ascii="Calibri Light" w:hAnsi="Calibri Light"/>
          <w:b/>
          <w:color w:val="2E74B5"/>
          <w:sz w:val="26"/>
          <w:szCs w:val="26"/>
          <w:lang w:eastAsia="en-US"/>
        </w:rPr>
      </w:r>
    </w:p>
    <w:p>
      <w:pPr>
        <w:pStyle w:val="Normal"/>
        <w:keepNext w:val="true"/>
        <w:keepLines/>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r>
        <w:rPr>
          <w:rFonts w:eastAsia="Times New Roman" w:cs="Times New Roman" w:ascii="Calibri Light" w:hAnsi="Calibri Light"/>
          <w:b/>
          <w:color w:val="2E74B5"/>
          <w:sz w:val="26"/>
          <w:szCs w:val="26"/>
          <w:lang w:eastAsia="en-US"/>
        </w:rPr>
        <w:t>Dataansvarlig</w:t>
      </w:r>
    </w:p>
    <w:p>
      <w:pPr>
        <w:pStyle w:val="Normal"/>
        <w:rPr/>
      </w:pPr>
      <w:r>
        <w:rPr>
          <w:lang w:eastAsia="en-US"/>
        </w:rPr>
        <w:t xml:space="preserve">Blans Vandværk, Blans, 6400 Sønderborg, CVRnummer </w:t>
      </w:r>
      <w:bookmarkStart w:id="1" w:name="__UnoMark__282_1144122613"/>
      <w:bookmarkEnd w:id="1"/>
      <w:r>
        <w:rPr>
          <w:lang w:eastAsia="en-US"/>
        </w:rPr>
        <w:t>20891815</w:t>
      </w:r>
    </w:p>
    <w:p>
      <w:pPr>
        <w:pStyle w:val="Normal"/>
        <w:keepNext w:val="true"/>
        <w:keepLines/>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r>
        <w:rPr>
          <w:rFonts w:eastAsia="Times New Roman" w:cs="Times New Roman" w:ascii="Calibri Light" w:hAnsi="Calibri Light"/>
          <w:b/>
          <w:color w:val="2E74B5"/>
          <w:sz w:val="26"/>
          <w:szCs w:val="26"/>
          <w:lang w:eastAsia="en-US"/>
        </w:rPr>
      </w:r>
    </w:p>
    <w:p>
      <w:pPr>
        <w:pStyle w:val="Normal"/>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bookmarkStart w:id="2" w:name="_Toc477080809"/>
      <w:bookmarkEnd w:id="2"/>
      <w:r>
        <w:rPr>
          <w:rFonts w:eastAsia="Times New Roman" w:cs="Times New Roman" w:ascii="Calibri Light" w:hAnsi="Calibri Light"/>
          <w:b/>
          <w:color w:val="2E74B5"/>
          <w:sz w:val="26"/>
          <w:szCs w:val="26"/>
          <w:lang w:eastAsia="en-US"/>
        </w:rPr>
        <w:t>Vores behandling af dine personoplysninger</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t>Vi behandler personoplysninger, som du eller en anden part, eksempelvis ejendomsmægler eller udlejer, har udleveret til os i forbindelse med din tilflytning til vandværkets forsyningsområde. Endvidere behandler vi løbende oplysninger om dit forbrug af vand.</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t>Disse personoplysninger behandler vi for at kunne leve op til vores kontraktlige forpligtelser overfor dig i forbindelse med afregning af forbrug samt vores forpligtelser i forbindelse med vandforsyningsloven.</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t>Uden disse oplysninger vil vi ikke kunne forsyne dig med vand.</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t>Typisk drejer det sig om disse personoplysninger:</w:t>
      </w:r>
    </w:p>
    <w:p>
      <w:pPr>
        <w:pStyle w:val="Normal"/>
        <w:numPr>
          <w:ilvl w:val="0"/>
          <w:numId w:val="1"/>
        </w:numPr>
        <w:spacing w:lineRule="auto" w:line="259" w:before="0" w:after="160"/>
        <w:contextualSpacing/>
        <w:rPr/>
      </w:pPr>
      <w:r>
        <w:rPr>
          <w:rFonts w:eastAsia="Calibri" w:cs="Times New Roman"/>
          <w:sz w:val="22"/>
          <w:szCs w:val="22"/>
          <w:lang w:eastAsia="en-US"/>
        </w:rPr>
        <w:t xml:space="preserve">Navn, adresse, </w:t>
      </w:r>
    </w:p>
    <w:p>
      <w:pPr>
        <w:pStyle w:val="Normal"/>
        <w:numPr>
          <w:ilvl w:val="0"/>
          <w:numId w:val="1"/>
        </w:numPr>
        <w:spacing w:lineRule="auto" w:line="259" w:before="0" w:after="160"/>
        <w:contextualSpacing/>
        <w:rPr>
          <w:rFonts w:ascii="Calibri" w:hAnsi="Calibri" w:eastAsia="Calibri" w:cs="Times New Roman"/>
          <w:sz w:val="22"/>
          <w:szCs w:val="22"/>
          <w:lang w:eastAsia="en-US"/>
        </w:rPr>
      </w:pPr>
      <w:r>
        <w:rPr>
          <w:rFonts w:eastAsia="Calibri" w:cs="Times New Roman"/>
          <w:sz w:val="22"/>
          <w:szCs w:val="22"/>
          <w:lang w:eastAsia="en-US"/>
        </w:rPr>
        <w:t>Målernumre, forbrugernummer (kundenummer)</w:t>
      </w:r>
    </w:p>
    <w:p>
      <w:pPr>
        <w:pStyle w:val="Normal"/>
        <w:numPr>
          <w:ilvl w:val="0"/>
          <w:numId w:val="1"/>
        </w:numPr>
        <w:spacing w:lineRule="auto" w:line="259" w:before="0" w:after="160"/>
        <w:contextualSpacing/>
        <w:rPr>
          <w:rFonts w:ascii="Calibri" w:hAnsi="Calibri" w:eastAsia="Calibri" w:cs="Times New Roman"/>
          <w:sz w:val="22"/>
          <w:szCs w:val="22"/>
          <w:lang w:eastAsia="en-US"/>
        </w:rPr>
      </w:pPr>
      <w:r>
        <w:rPr>
          <w:rFonts w:eastAsia="Calibri" w:cs="Times New Roman"/>
          <w:sz w:val="22"/>
          <w:szCs w:val="22"/>
          <w:lang w:eastAsia="en-US"/>
        </w:rPr>
        <w:t>Forbrugsdata der kan henføres til en person</w:t>
      </w:r>
    </w:p>
    <w:p>
      <w:pPr>
        <w:pStyle w:val="Normal"/>
        <w:keepNext w:val="true"/>
        <w:keepLines/>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r>
        <w:rPr>
          <w:rFonts w:eastAsia="Times New Roman" w:cs="Times New Roman" w:ascii="Calibri Light" w:hAnsi="Calibri Light"/>
          <w:b/>
          <w:color w:val="2E74B5"/>
          <w:sz w:val="26"/>
          <w:szCs w:val="26"/>
          <w:lang w:eastAsia="en-US"/>
        </w:rPr>
      </w:r>
    </w:p>
    <w:p>
      <w:pPr>
        <w:pStyle w:val="Normal"/>
        <w:keepNext w:val="true"/>
        <w:keepLines/>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bookmarkStart w:id="3" w:name="_Toc477080817"/>
      <w:bookmarkEnd w:id="3"/>
      <w:r>
        <w:rPr>
          <w:rFonts w:eastAsia="Times New Roman" w:cs="Times New Roman" w:ascii="Calibri Light" w:hAnsi="Calibri Light"/>
          <w:b/>
          <w:color w:val="2E74B5"/>
          <w:sz w:val="26"/>
          <w:szCs w:val="26"/>
          <w:lang w:eastAsia="en-US"/>
        </w:rPr>
        <w:t>Tidsfrister for sletning/opbevaring</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t>Vi stræber efter at slette (eller anonymisere) personoplysninger, så snart de ikke har nogen relevans. Dog opbevarer vi dem altid i minimum 5 år af hensyn til bogføringsloven. Ofte opbevarer vi forbrugsoplysninger længere af hensyn til statistiske formål, eksempelvis i forbindelse med ejerskifte.</w:t>
      </w:r>
    </w:p>
    <w:p>
      <w:pPr>
        <w:pStyle w:val="Normal"/>
        <w:keepNext w:val="true"/>
        <w:keepLines/>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r>
        <w:rPr>
          <w:rFonts w:eastAsia="Times New Roman" w:cs="Times New Roman" w:ascii="Calibri Light" w:hAnsi="Calibri Light"/>
          <w:b/>
          <w:color w:val="2E74B5"/>
          <w:sz w:val="26"/>
          <w:szCs w:val="26"/>
          <w:lang w:eastAsia="en-US"/>
        </w:rPr>
        <w:t>Dine rettigheder efter persondataforordningen</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t>I forbindelse med vores behandling af dine personoplysninger har du adskillige rettigheder:</w:t>
      </w:r>
    </w:p>
    <w:p>
      <w:pPr>
        <w:pStyle w:val="Normal"/>
        <w:numPr>
          <w:ilvl w:val="0"/>
          <w:numId w:val="2"/>
        </w:numPr>
        <w:spacing w:lineRule="auto" w:line="259" w:before="0" w:after="160"/>
        <w:contextualSpacing/>
        <w:rPr>
          <w:rFonts w:ascii="Calibri" w:hAnsi="Calibri" w:eastAsia="Calibri" w:cs="Times New Roman"/>
          <w:sz w:val="22"/>
          <w:szCs w:val="22"/>
          <w:lang w:eastAsia="en-US"/>
        </w:rPr>
      </w:pPr>
      <w:r>
        <w:rPr>
          <w:rFonts w:eastAsia="Calibri" w:cs="Times New Roman"/>
          <w:sz w:val="22"/>
          <w:szCs w:val="22"/>
          <w:lang w:eastAsia="en-US"/>
        </w:rPr>
        <w:t>Retten til at modtage oplysning om hvordan vi behandler dine personoplysninger (oplysningspligt).</w:t>
      </w:r>
    </w:p>
    <w:p>
      <w:pPr>
        <w:pStyle w:val="Normal"/>
        <w:numPr>
          <w:ilvl w:val="0"/>
          <w:numId w:val="2"/>
        </w:numPr>
        <w:spacing w:lineRule="auto" w:line="259" w:before="0" w:after="160"/>
        <w:contextualSpacing/>
        <w:rPr>
          <w:rFonts w:ascii="Calibri" w:hAnsi="Calibri" w:eastAsia="Calibri" w:cs="Times New Roman"/>
          <w:sz w:val="22"/>
          <w:szCs w:val="22"/>
          <w:lang w:eastAsia="en-US"/>
        </w:rPr>
      </w:pPr>
      <w:r>
        <w:rPr>
          <w:rFonts w:eastAsia="Calibri" w:cs="Times New Roman"/>
          <w:sz w:val="22"/>
          <w:szCs w:val="22"/>
          <w:lang w:eastAsia="en-US"/>
        </w:rPr>
        <w:t>Retten til at få indsigt i dine personoplysninger.</w:t>
      </w:r>
    </w:p>
    <w:p>
      <w:pPr>
        <w:pStyle w:val="Normal"/>
        <w:numPr>
          <w:ilvl w:val="0"/>
          <w:numId w:val="2"/>
        </w:numPr>
        <w:spacing w:lineRule="auto" w:line="259" w:before="0" w:after="160"/>
        <w:contextualSpacing/>
        <w:rPr>
          <w:rFonts w:ascii="Calibri" w:hAnsi="Calibri" w:eastAsia="Calibri" w:cs="Times New Roman"/>
          <w:sz w:val="22"/>
          <w:szCs w:val="22"/>
          <w:lang w:eastAsia="en-US"/>
        </w:rPr>
      </w:pPr>
      <w:r>
        <w:rPr>
          <w:rFonts w:eastAsia="Calibri" w:cs="Times New Roman"/>
          <w:sz w:val="22"/>
          <w:szCs w:val="22"/>
          <w:lang w:eastAsia="en-US"/>
        </w:rPr>
        <w:t>Retten til at få urigtige personoplysninger rettet.</w:t>
      </w:r>
    </w:p>
    <w:p>
      <w:pPr>
        <w:pStyle w:val="Normal"/>
        <w:numPr>
          <w:ilvl w:val="0"/>
          <w:numId w:val="2"/>
        </w:numPr>
        <w:spacing w:lineRule="auto" w:line="259" w:before="0" w:after="160"/>
        <w:contextualSpacing/>
        <w:rPr>
          <w:rFonts w:ascii="Calibri" w:hAnsi="Calibri" w:eastAsia="Calibri" w:cs="Times New Roman"/>
          <w:sz w:val="22"/>
          <w:szCs w:val="22"/>
          <w:lang w:eastAsia="en-US"/>
        </w:rPr>
      </w:pPr>
      <w:r>
        <w:rPr>
          <w:rFonts w:eastAsia="Calibri" w:cs="Times New Roman"/>
          <w:sz w:val="22"/>
          <w:szCs w:val="22"/>
          <w:lang w:eastAsia="en-US"/>
        </w:rPr>
        <w:t>Retten til at få dine personoplysninger slettet.</w:t>
      </w:r>
    </w:p>
    <w:p>
      <w:pPr>
        <w:pStyle w:val="Normal"/>
        <w:numPr>
          <w:ilvl w:val="0"/>
          <w:numId w:val="2"/>
        </w:numPr>
        <w:spacing w:lineRule="auto" w:line="259" w:before="0" w:after="160"/>
        <w:contextualSpacing/>
        <w:rPr>
          <w:rFonts w:ascii="Calibri" w:hAnsi="Calibri" w:eastAsia="Calibri" w:cs="Times New Roman"/>
          <w:sz w:val="22"/>
          <w:szCs w:val="22"/>
          <w:lang w:eastAsia="en-US"/>
        </w:rPr>
      </w:pPr>
      <w:r>
        <w:rPr>
          <w:rFonts w:eastAsia="Calibri" w:cs="Times New Roman"/>
          <w:sz w:val="22"/>
          <w:szCs w:val="22"/>
          <w:lang w:eastAsia="en-US"/>
        </w:rPr>
        <w:t>Retten til at gøre indsigelse mod at dine personoplysninger anvendes til direkte markedsføring.</w:t>
      </w:r>
    </w:p>
    <w:p>
      <w:pPr>
        <w:pStyle w:val="Normal"/>
        <w:numPr>
          <w:ilvl w:val="0"/>
          <w:numId w:val="2"/>
        </w:numPr>
        <w:spacing w:lineRule="auto" w:line="259" w:before="0" w:after="160"/>
        <w:contextualSpacing/>
        <w:rPr>
          <w:rFonts w:ascii="Calibri" w:hAnsi="Calibri" w:eastAsia="Calibri" w:cs="Times New Roman"/>
          <w:sz w:val="22"/>
          <w:szCs w:val="22"/>
          <w:lang w:eastAsia="en-US"/>
        </w:rPr>
      </w:pPr>
      <w:r>
        <w:rPr>
          <w:rFonts w:eastAsia="Calibri" w:cs="Times New Roman"/>
          <w:sz w:val="22"/>
          <w:szCs w:val="22"/>
          <w:lang w:eastAsia="en-US"/>
        </w:rPr>
        <w:t>Retten til at gøre indsigelse mod automatiske, individuelle afgørelser, herunder profilering.</w:t>
      </w:r>
    </w:p>
    <w:p>
      <w:pPr>
        <w:pStyle w:val="Normal"/>
        <w:numPr>
          <w:ilvl w:val="0"/>
          <w:numId w:val="2"/>
        </w:numPr>
        <w:spacing w:lineRule="auto" w:line="259" w:before="0" w:after="160"/>
        <w:contextualSpacing/>
        <w:rPr>
          <w:rFonts w:ascii="Calibri" w:hAnsi="Calibri" w:eastAsia="Calibri" w:cs="Times New Roman"/>
          <w:sz w:val="22"/>
          <w:szCs w:val="22"/>
          <w:lang w:eastAsia="en-US"/>
        </w:rPr>
      </w:pPr>
      <w:r>
        <w:rPr>
          <w:rFonts w:eastAsia="Calibri" w:cs="Times New Roman"/>
          <w:sz w:val="22"/>
          <w:szCs w:val="22"/>
          <w:lang w:eastAsia="en-US"/>
        </w:rPr>
        <w:t>Retten til at flytte dine personoplysninger (dataportabilitet).</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br/>
        <w:t>Alle ovenstående rettigheder håndteres manuelt ved henvendelse til vores persondataansvarlige.</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t>Vi kan afvise anmodninger, der er urimeligt gentagende, kræver uforholdsmæssig meget teknisk indgriben (f.eks. at udvikle et nyt system eller ændre en eksisterende praksis væsentligt), påvirker beskyttelsen af andres personlige oplysninger, eller noget som vil være ekstremt upraktisk (f.eks. anmodninger om oplysninger der findes som sikkerhedskopier).</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t>Hvis vi kan rette oplysninger, gør vi naturligvis dette gratis, med mindre det kræver en uforholdsmæssig stor indsats. Vi bestræber os på at vedligeholde vores tjenester på en måde, der beskytter oplysninger fra fejlagtig eller skadelig ødelæggelse. Når vi sletter dine personoplysninger fra vores tjenester, er det derfor muligt, at vi ikke altid kan slette tilhørende kopier fra vores arkivservere med det samme, og det er ikke sikkert, at oplysningerne fjernes fra vores sikkerhedskopisystemer.</w:t>
      </w:r>
    </w:p>
    <w:p>
      <w:pPr>
        <w:pStyle w:val="Normal"/>
        <w:spacing w:lineRule="auto" w:line="259" w:before="0" w:after="160"/>
        <w:rPr/>
      </w:pPr>
      <w:r>
        <w:rPr>
          <w:rFonts w:eastAsia="Calibri" w:cs="Times New Roman"/>
          <w:sz w:val="22"/>
          <w:szCs w:val="22"/>
          <w:lang w:eastAsia="en-US"/>
        </w:rPr>
        <w:t>Du har til hver en tid retten til at klage til Datatilsynet (</w:t>
      </w:r>
      <w:hyperlink r:id="rId2">
        <w:r>
          <w:rPr>
            <w:rStyle w:val="Hyperlink"/>
            <w:rFonts w:eastAsia="Calibri" w:cs="Times New Roman"/>
            <w:color w:val="0563C1"/>
            <w:sz w:val="22"/>
            <w:szCs w:val="22"/>
            <w:u w:val="single"/>
            <w:lang w:eastAsia="en-US"/>
          </w:rPr>
          <w:t>https://www.datatilsynet.dk/borger/klage-til-datatilsynet/</w:t>
        </w:r>
      </w:hyperlink>
    </w:p>
    <w:p>
      <w:pPr>
        <w:pStyle w:val="Normal"/>
        <w:keepNext w:val="true"/>
        <w:keepLines/>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r>
        <w:rPr>
          <w:rFonts w:eastAsia="Times New Roman" w:cs="Times New Roman" w:ascii="Calibri Light" w:hAnsi="Calibri Light"/>
          <w:b/>
          <w:color w:val="2E74B5"/>
          <w:sz w:val="26"/>
          <w:szCs w:val="26"/>
          <w:lang w:eastAsia="en-US"/>
        </w:rPr>
      </w:r>
    </w:p>
    <w:p>
      <w:pPr>
        <w:pStyle w:val="Normal"/>
        <w:keepNext w:val="true"/>
        <w:keepLines/>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r>
        <w:rPr>
          <w:rFonts w:eastAsia="Times New Roman" w:cs="Times New Roman" w:ascii="Calibri Light" w:hAnsi="Calibri Light"/>
          <w:b/>
          <w:color w:val="2E74B5"/>
          <w:sz w:val="26"/>
          <w:szCs w:val="26"/>
          <w:lang w:eastAsia="en-US"/>
        </w:rPr>
        <w:t>Oplysninger, som vi videregiver</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t>Vi videregiver ikke personlige oplysninger til virksomheder, organisationer og enkeltpersoner uden for vandværket. Undtagelsen er i disse tilfælde:</w:t>
      </w:r>
    </w:p>
    <w:p>
      <w:pPr>
        <w:pStyle w:val="Normal"/>
        <w:numPr>
          <w:ilvl w:val="0"/>
          <w:numId w:val="2"/>
        </w:numPr>
        <w:spacing w:lineRule="auto" w:line="259" w:before="0" w:after="160"/>
        <w:contextualSpacing/>
        <w:rPr>
          <w:rFonts w:ascii="Calibri" w:hAnsi="Calibri" w:eastAsia="Calibri" w:cs="Times New Roman"/>
          <w:sz w:val="22"/>
          <w:szCs w:val="22"/>
          <w:lang w:eastAsia="en-US"/>
        </w:rPr>
      </w:pPr>
      <w:r>
        <w:rPr>
          <w:rFonts w:eastAsia="Calibri" w:cs="Times New Roman"/>
          <w:sz w:val="22"/>
          <w:szCs w:val="22"/>
          <w:lang w:eastAsia="en-US"/>
        </w:rPr>
        <w:t>Med dit samtykke</w:t>
      </w:r>
    </w:p>
    <w:p>
      <w:pPr>
        <w:pStyle w:val="Normal"/>
        <w:spacing w:lineRule="auto" w:line="259" w:before="0" w:after="160"/>
        <w:ind w:left="720" w:hanging="0"/>
        <w:rPr>
          <w:rFonts w:ascii="Calibri" w:hAnsi="Calibri" w:eastAsia="Calibri" w:cs="Times New Roman"/>
          <w:sz w:val="22"/>
          <w:szCs w:val="22"/>
          <w:lang w:eastAsia="en-US"/>
        </w:rPr>
      </w:pPr>
      <w:r>
        <w:rPr>
          <w:rFonts w:eastAsia="Calibri" w:cs="Times New Roman"/>
          <w:sz w:val="22"/>
          <w:szCs w:val="22"/>
          <w:lang w:eastAsia="en-US"/>
        </w:rPr>
        <w:t>Vi videregiver personlige oplysninger til virksomheder, organisationer eller enkeltpersoner uden for vandværket, hvis vi har dit samtykke. Vi kræver aktivt tilvalg af videregivelse af alle personoplysninger.</w:t>
      </w:r>
    </w:p>
    <w:p>
      <w:pPr>
        <w:pStyle w:val="Normal"/>
        <w:numPr>
          <w:ilvl w:val="0"/>
          <w:numId w:val="2"/>
        </w:numPr>
        <w:spacing w:lineRule="auto" w:line="259" w:before="0" w:after="160"/>
        <w:contextualSpacing/>
        <w:rPr>
          <w:rFonts w:ascii="Calibri" w:hAnsi="Calibri" w:eastAsia="Calibri" w:cs="Times New Roman"/>
          <w:sz w:val="22"/>
          <w:szCs w:val="22"/>
          <w:lang w:eastAsia="en-US"/>
        </w:rPr>
      </w:pPr>
      <w:r>
        <w:rPr>
          <w:rFonts w:eastAsia="Calibri" w:cs="Times New Roman"/>
          <w:sz w:val="22"/>
          <w:szCs w:val="22"/>
          <w:lang w:eastAsia="en-US"/>
        </w:rPr>
        <w:t>Til ekstern databehandling</w:t>
      </w:r>
    </w:p>
    <w:p>
      <w:pPr>
        <w:pStyle w:val="Normal"/>
        <w:spacing w:lineRule="auto" w:line="259" w:before="0" w:after="160"/>
        <w:ind w:left="720" w:hanging="0"/>
        <w:rPr>
          <w:rFonts w:ascii="Calibri" w:hAnsi="Calibri" w:eastAsia="Calibri" w:cs="Times New Roman"/>
          <w:sz w:val="22"/>
          <w:szCs w:val="22"/>
          <w:lang w:eastAsia="en-US"/>
        </w:rPr>
      </w:pPr>
      <w:r>
        <w:rPr>
          <w:rFonts w:eastAsia="Calibri" w:cs="Times New Roman"/>
          <w:sz w:val="22"/>
          <w:szCs w:val="22"/>
          <w:lang w:eastAsia="en-US"/>
        </w:rPr>
        <w:t>Vi videregiver personlige oplysninger til vores samarbejdspartnere eller andre betroede virksomheder eller personer, der behandler dem for os. Deres behandling er baseret på vores instrukser og i overensstemmelse med vores privatlivspolitik og andre gældende tiltag til fortrolighed og sikkerhed, eksempelvis vores databehandleraftale.</w:t>
      </w:r>
    </w:p>
    <w:p>
      <w:pPr>
        <w:pStyle w:val="Normal"/>
        <w:numPr>
          <w:ilvl w:val="0"/>
          <w:numId w:val="2"/>
        </w:numPr>
        <w:spacing w:lineRule="auto" w:line="259" w:before="0" w:after="160"/>
        <w:contextualSpacing/>
        <w:rPr>
          <w:rFonts w:ascii="Calibri" w:hAnsi="Calibri" w:eastAsia="Calibri" w:cs="Times New Roman"/>
          <w:sz w:val="22"/>
          <w:szCs w:val="22"/>
          <w:lang w:eastAsia="en-US"/>
        </w:rPr>
      </w:pPr>
      <w:r>
        <w:rPr>
          <w:rFonts w:eastAsia="Calibri" w:cs="Times New Roman"/>
          <w:sz w:val="22"/>
          <w:szCs w:val="22"/>
          <w:lang w:eastAsia="en-US"/>
        </w:rPr>
        <w:t>Af juridiske årsager</w:t>
      </w:r>
    </w:p>
    <w:p>
      <w:pPr>
        <w:pStyle w:val="Normal"/>
        <w:spacing w:lineRule="auto" w:line="259" w:before="0" w:after="160"/>
        <w:ind w:left="720" w:hanging="0"/>
        <w:rPr>
          <w:rFonts w:ascii="Calibri" w:hAnsi="Calibri" w:eastAsia="Calibri" w:cs="Times New Roman"/>
          <w:sz w:val="22"/>
          <w:szCs w:val="22"/>
          <w:lang w:eastAsia="en-US"/>
        </w:rPr>
      </w:pPr>
      <w:r>
        <w:rPr>
          <w:rFonts w:eastAsia="Calibri" w:cs="Times New Roman"/>
          <w:sz w:val="22"/>
          <w:szCs w:val="22"/>
          <w:lang w:eastAsia="en-US"/>
        </w:rPr>
        <w:t>Vi videregiver personlige oplysninger til virksomheder, organisationer eller enkeltpersoner uden for vandværket, hvis vi i god tro mener, at adgang, brug, bevarelse eller offentliggørelse af oplysningerne er nødvendig for at:</w:t>
      </w:r>
    </w:p>
    <w:p>
      <w:pPr>
        <w:pStyle w:val="Normal"/>
        <w:numPr>
          <w:ilvl w:val="1"/>
          <w:numId w:val="2"/>
        </w:numPr>
        <w:spacing w:lineRule="auto" w:line="259" w:before="0" w:after="160"/>
        <w:contextualSpacing/>
        <w:rPr>
          <w:rFonts w:ascii="Calibri" w:hAnsi="Calibri" w:eastAsia="Calibri" w:cs="Times New Roman"/>
          <w:sz w:val="22"/>
          <w:szCs w:val="22"/>
          <w:lang w:eastAsia="en-US"/>
        </w:rPr>
      </w:pPr>
      <w:r>
        <w:rPr>
          <w:rFonts w:eastAsia="Calibri" w:cs="Times New Roman"/>
          <w:sz w:val="22"/>
          <w:szCs w:val="22"/>
          <w:lang w:eastAsia="en-US"/>
        </w:rPr>
        <w:t>Overholde gældende love, bestemmelser, sagsanlæg eller retsgyldige anmodninger fra offentlige myndigheder.</w:t>
      </w:r>
    </w:p>
    <w:p>
      <w:pPr>
        <w:pStyle w:val="Normal"/>
        <w:numPr>
          <w:ilvl w:val="1"/>
          <w:numId w:val="2"/>
        </w:numPr>
        <w:spacing w:lineRule="auto" w:line="259" w:before="0" w:after="160"/>
        <w:contextualSpacing/>
        <w:rPr>
          <w:rFonts w:ascii="Calibri" w:hAnsi="Calibri" w:eastAsia="Calibri" w:cs="Times New Roman"/>
          <w:sz w:val="22"/>
          <w:szCs w:val="22"/>
          <w:lang w:eastAsia="en-US"/>
        </w:rPr>
      </w:pPr>
      <w:r>
        <w:rPr>
          <w:rFonts w:eastAsia="Calibri" w:cs="Times New Roman"/>
          <w:sz w:val="22"/>
          <w:szCs w:val="22"/>
          <w:lang w:eastAsia="en-US"/>
        </w:rPr>
        <w:t>Håndhæve gældende servicevilkår, herunder undersøgelse af potentielle overtrædelser.</w:t>
      </w:r>
    </w:p>
    <w:p>
      <w:pPr>
        <w:pStyle w:val="Normal"/>
        <w:numPr>
          <w:ilvl w:val="1"/>
          <w:numId w:val="2"/>
        </w:numPr>
        <w:spacing w:lineRule="auto" w:line="259" w:before="0" w:after="160"/>
        <w:contextualSpacing/>
        <w:rPr>
          <w:rFonts w:ascii="Calibri" w:hAnsi="Calibri" w:eastAsia="Calibri" w:cs="Times New Roman"/>
          <w:sz w:val="22"/>
          <w:szCs w:val="22"/>
          <w:lang w:eastAsia="en-US"/>
        </w:rPr>
      </w:pPr>
      <w:r>
        <w:rPr>
          <w:rFonts w:eastAsia="Calibri" w:cs="Times New Roman"/>
          <w:sz w:val="22"/>
          <w:szCs w:val="22"/>
          <w:lang w:eastAsia="en-US"/>
        </w:rPr>
        <w:t>Registrere, forhindre eller på anden måde beskytte mod problemer med bedrageri, sikkerhed eller tekniske problemer.</w:t>
      </w:r>
    </w:p>
    <w:p>
      <w:pPr>
        <w:pStyle w:val="Normal"/>
        <w:numPr>
          <w:ilvl w:val="1"/>
          <w:numId w:val="2"/>
        </w:numPr>
        <w:spacing w:lineRule="auto" w:line="259" w:before="0" w:after="160"/>
        <w:contextualSpacing/>
        <w:rPr>
          <w:rFonts w:ascii="Calibri" w:hAnsi="Calibri" w:eastAsia="Calibri" w:cs="Times New Roman"/>
          <w:sz w:val="22"/>
          <w:szCs w:val="22"/>
          <w:lang w:eastAsia="en-US"/>
        </w:rPr>
      </w:pPr>
      <w:r>
        <w:rPr>
          <w:rFonts w:eastAsia="Calibri" w:cs="Times New Roman"/>
          <w:sz w:val="22"/>
          <w:szCs w:val="22"/>
          <w:lang w:eastAsia="en-US"/>
        </w:rPr>
        <w:t>Holde vandværket fri fra skade, vores medlemmer eller offentlighedens rettigheder, ejendom eller sikkerhed, sådan som det kræves eller tillades i henhold til lovgivningen.</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t>Vi kan dele oplysninger, der ikke identificerer personer, med offentligheden og vores partnere. Vi kan f.eks. dele oplysninger med offentligheden for at vise generelle tendenser om, hvordan vores forbrugeres forbrug fordeler sig.</w:t>
      </w:r>
    </w:p>
    <w:p>
      <w:pPr>
        <w:pStyle w:val="Normal"/>
        <w:keepNext w:val="true"/>
        <w:keepLines/>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r>
        <w:rPr>
          <w:rFonts w:eastAsia="Times New Roman" w:cs="Times New Roman" w:ascii="Calibri Light" w:hAnsi="Calibri Light"/>
          <w:b/>
          <w:color w:val="2E74B5"/>
          <w:sz w:val="26"/>
          <w:szCs w:val="26"/>
          <w:lang w:eastAsia="en-US"/>
        </w:rPr>
        <w:t>Informationssikkerhed</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t>Vi arbejder hårdt for at beskytte vandværket og vores forbrugere mod uautoriseret adgang, ændring, offentliggørelse eller ødelæggelse af personoplysninger, som vi lagrer.</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t>Vi har implementeret følgende organisatoriske og tekniske foranstaltninger generelt på vandværket:</w:t>
      </w:r>
    </w:p>
    <w:p>
      <w:pPr>
        <w:pStyle w:val="Normal"/>
        <w:numPr>
          <w:ilvl w:val="0"/>
          <w:numId w:val="0"/>
        </w:numPr>
        <w:spacing w:lineRule="auto" w:line="259" w:before="0" w:after="160"/>
        <w:ind w:left="720" w:hanging="0"/>
        <w:contextualSpacing/>
        <w:rPr>
          <w:rFonts w:ascii="Calibri" w:hAnsi="Calibri" w:eastAsia="Calibri" w:cs="Times New Roman"/>
          <w:sz w:val="22"/>
          <w:szCs w:val="22"/>
          <w:highlight w:val="yellow"/>
          <w:lang w:eastAsia="en-US"/>
        </w:rPr>
      </w:pPr>
      <w:r>
        <w:rPr>
          <w:rFonts w:eastAsia="Calibri" w:cs="Times New Roman"/>
          <w:sz w:val="22"/>
          <w:szCs w:val="22"/>
          <w:lang w:eastAsia="en-US"/>
        </w:rPr>
        <w:t>Antivirus på alle it-systemer, der behandler personoplysninger.</w:t>
      </w:r>
    </w:p>
    <w:p>
      <w:pPr>
        <w:pStyle w:val="Normal"/>
        <w:numPr>
          <w:ilvl w:val="0"/>
          <w:numId w:val="0"/>
        </w:numPr>
        <w:spacing w:lineRule="auto" w:line="259" w:before="0" w:after="160"/>
        <w:ind w:left="720" w:hanging="0"/>
        <w:contextualSpacing/>
        <w:rPr/>
      </w:pPr>
      <w:r>
        <w:rPr>
          <w:rFonts w:eastAsia="Calibri" w:cs="Times New Roman"/>
          <w:sz w:val="22"/>
          <w:szCs w:val="22"/>
          <w:lang w:eastAsia="en-US"/>
        </w:rPr>
        <w:t>Backup af alle it-systemer, der behandler personoplysninger.</w:t>
      </w:r>
    </w:p>
    <w:p>
      <w:pPr>
        <w:pStyle w:val="Normal"/>
        <w:numPr>
          <w:ilvl w:val="0"/>
          <w:numId w:val="0"/>
        </w:numPr>
        <w:spacing w:lineRule="auto" w:line="259" w:before="0" w:after="160"/>
        <w:ind w:left="720" w:hanging="0"/>
        <w:contextualSpacing/>
        <w:rPr/>
      </w:pPr>
      <w:r>
        <w:rPr>
          <w:rFonts w:eastAsia="Calibri" w:cs="Times New Roman"/>
          <w:sz w:val="22"/>
          <w:szCs w:val="22"/>
          <w:lang w:eastAsia="en-US"/>
        </w:rPr>
        <w:t>Adgangsbegrænsning til personoplysninger, så der kun gives adgang, hvor det er nødvendigt.</w:t>
      </w:r>
    </w:p>
    <w:p>
      <w:pPr>
        <w:pStyle w:val="Normal"/>
        <w:numPr>
          <w:ilvl w:val="0"/>
          <w:numId w:val="0"/>
        </w:numPr>
        <w:spacing w:lineRule="auto" w:line="259" w:before="0" w:after="160"/>
        <w:ind w:left="720" w:hanging="0"/>
        <w:contextualSpacing/>
        <w:rPr/>
      </w:pPr>
      <w:r>
        <w:rPr>
          <w:rFonts w:eastAsia="Calibri" w:cs="Times New Roman"/>
          <w:sz w:val="22"/>
          <w:szCs w:val="22"/>
          <w:lang w:eastAsia="en-US"/>
        </w:rPr>
        <w:t>Databehandleraftaler med leverandører, der behandler personoplysninger på vandværkets vegne.</w:t>
      </w:r>
    </w:p>
    <w:p>
      <w:pPr>
        <w:pStyle w:val="Normal"/>
        <w:numPr>
          <w:ilvl w:val="0"/>
          <w:numId w:val="0"/>
        </w:numPr>
        <w:spacing w:lineRule="auto" w:line="259" w:before="0" w:after="160"/>
        <w:ind w:left="720" w:hanging="0"/>
        <w:contextualSpacing/>
        <w:rPr>
          <w:rFonts w:ascii="Calibri" w:hAnsi="Calibri" w:eastAsia="Calibri" w:cs="Times New Roman"/>
          <w:sz w:val="22"/>
          <w:szCs w:val="22"/>
          <w:highlight w:val="yellow"/>
          <w:lang w:eastAsia="en-US"/>
        </w:rPr>
      </w:pPr>
      <w:r>
        <w:rPr>
          <w:rFonts w:eastAsia="Calibri" w:cs="Times New Roman"/>
          <w:sz w:val="22"/>
          <w:szCs w:val="22"/>
          <w:lang w:eastAsia="en-US"/>
        </w:rPr>
        <w:t>Vejledning i sikker behandling af personoplysninger og informationsaktiver for personale med adgang til informationssystemer.</w:t>
      </w:r>
    </w:p>
    <w:p>
      <w:pPr>
        <w:pStyle w:val="Normal"/>
        <w:numPr>
          <w:ilvl w:val="0"/>
          <w:numId w:val="0"/>
        </w:numPr>
        <w:spacing w:lineRule="auto" w:line="259" w:before="0" w:after="160"/>
        <w:ind w:left="720" w:hanging="0"/>
        <w:contextualSpacing/>
        <w:rPr>
          <w:rFonts w:ascii="Calibri" w:hAnsi="Calibri" w:eastAsia="Calibri" w:cs="Times New Roman"/>
          <w:sz w:val="22"/>
          <w:szCs w:val="22"/>
          <w:highlight w:val="yellow"/>
          <w:lang w:eastAsia="en-US"/>
        </w:rPr>
      </w:pPr>
      <w:r>
        <w:rPr>
          <w:rFonts w:eastAsia="Calibri" w:cs="Times New Roman"/>
          <w:sz w:val="22"/>
          <w:szCs w:val="22"/>
          <w:lang w:eastAsia="en-US"/>
        </w:rPr>
        <w:t>Gennemførelse</w:t>
      </w:r>
      <w:bookmarkStart w:id="4" w:name="_GoBack"/>
      <w:bookmarkEnd w:id="4"/>
      <w:r>
        <w:rPr>
          <w:rFonts w:eastAsia="Calibri" w:cs="Times New Roman"/>
          <w:sz w:val="22"/>
          <w:szCs w:val="22"/>
          <w:lang w:eastAsia="en-US"/>
        </w:rPr>
        <w:t xml:space="preserve"> af ovenstående risikovurdering og dokumentation af alle systemer der behandler personoplysninger for at sikre et oplyst grundlag for sikkerhedsniveauet for persondatabehandlingen i vandværke</w:t>
      </w:r>
      <w:r>
        <w:rPr>
          <w:rFonts w:eastAsia="Calibri" w:cs="Times New Roman"/>
          <w:sz w:val="22"/>
          <w:szCs w:val="22"/>
          <w:shd w:fill="auto" w:val="clear"/>
          <w:lang w:eastAsia="en-US"/>
        </w:rPr>
        <w:t>t.</w:t>
      </w:r>
    </w:p>
    <w:p>
      <w:pPr>
        <w:pStyle w:val="Normal"/>
        <w:keepNext w:val="true"/>
        <w:keepLines/>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r>
        <w:rPr>
          <w:rFonts w:eastAsia="Times New Roman" w:cs="Times New Roman" w:ascii="Calibri Light" w:hAnsi="Calibri Light"/>
          <w:b/>
          <w:color w:val="2E74B5"/>
          <w:sz w:val="26"/>
          <w:szCs w:val="26"/>
          <w:lang w:eastAsia="en-US"/>
        </w:rPr>
      </w:r>
    </w:p>
    <w:p>
      <w:pPr>
        <w:pStyle w:val="Normal"/>
        <w:keepNext w:val="true"/>
        <w:keepLines/>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r>
        <w:rPr>
          <w:rFonts w:eastAsia="Times New Roman" w:cs="Times New Roman" w:ascii="Calibri Light" w:hAnsi="Calibri Light"/>
          <w:b/>
          <w:color w:val="2E74B5"/>
          <w:sz w:val="26"/>
          <w:szCs w:val="26"/>
          <w:lang w:eastAsia="en-US"/>
        </w:rPr>
        <w:t>Overholdelse og samarbejde med tilsynsmyndigheder</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t>Vi gennemgår regelmæssigt, at vi overholder vores egen persondatapolitik. Vi overholder også adskillige selvregulerende sikkerhedspolitikker. Når vi modtager formelle skriftlige klager, kontakter vi afsenderen for at følge op på klagen. Vi samarbejder med de relevante lovgivende myndigheder, f.eks. Datatilsynet, om at løse klager om overførsel af personlige data, som vi ikke kan løse direkte med vores brugere.</w:t>
      </w:r>
    </w:p>
    <w:p>
      <w:pPr>
        <w:pStyle w:val="Normal"/>
        <w:keepNext w:val="true"/>
        <w:keepLines/>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r>
        <w:rPr>
          <w:rFonts w:eastAsia="Times New Roman" w:cs="Times New Roman" w:ascii="Calibri Light" w:hAnsi="Calibri Light"/>
          <w:b/>
          <w:color w:val="2E74B5"/>
          <w:sz w:val="26"/>
          <w:szCs w:val="26"/>
          <w:lang w:eastAsia="en-US"/>
        </w:rPr>
        <w:t>Ændringer</w:t>
      </w:r>
    </w:p>
    <w:p>
      <w:pPr>
        <w:pStyle w:val="Normal"/>
        <w:spacing w:lineRule="auto" w:line="259" w:before="0" w:after="160"/>
        <w:rPr>
          <w:rFonts w:ascii="Calibri" w:hAnsi="Calibri" w:eastAsia="Calibri" w:cs="Times New Roman"/>
          <w:sz w:val="22"/>
          <w:szCs w:val="22"/>
          <w:lang w:eastAsia="en-US"/>
        </w:rPr>
      </w:pPr>
      <w:r>
        <w:rPr>
          <w:rFonts w:eastAsia="Calibri" w:cs="Times New Roman"/>
          <w:sz w:val="22"/>
          <w:szCs w:val="22"/>
          <w:lang w:eastAsia="en-US"/>
        </w:rPr>
        <w:t xml:space="preserve">Vores privatlivspolitik kan ændres fra tid til anden. Vi begrænser ikke dine rettigheder i henhold til denne privatlivspolitik uden dit udtrykkelige samtykke. Eventuelle ændringer af denne privatlivspolitik angives på denne side, og hvis der sker væsentlige ændringer, vil vi gøre opmærksom på dem på en mere iøjnefaldende måde (for visse tjenester oplyser vi bl.a. om ændringer via e-mail). </w:t>
      </w:r>
    </w:p>
    <w:p>
      <w:pPr>
        <w:pStyle w:val="Normal"/>
        <w:keepNext w:val="true"/>
        <w:keepLines/>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r>
        <w:rPr>
          <w:rFonts w:eastAsia="Times New Roman" w:cs="Times New Roman" w:ascii="Calibri Light" w:hAnsi="Calibri Light"/>
          <w:b/>
          <w:color w:val="2E74B5"/>
          <w:sz w:val="26"/>
          <w:szCs w:val="26"/>
          <w:lang w:eastAsia="en-US"/>
        </w:rPr>
      </w:r>
    </w:p>
    <w:p>
      <w:pPr>
        <w:pStyle w:val="Normal"/>
        <w:keepNext w:val="true"/>
        <w:keepLines/>
        <w:numPr>
          <w:ilvl w:val="0"/>
          <w:numId w:val="0"/>
        </w:numPr>
        <w:spacing w:lineRule="auto" w:line="259" w:before="40" w:after="0"/>
        <w:outlineLvl w:val="1"/>
        <w:rPr>
          <w:rFonts w:ascii="Calibri Light" w:hAnsi="Calibri Light" w:eastAsia="Times New Roman" w:cs="Times New Roman"/>
          <w:b/>
          <w:b/>
          <w:color w:val="2E74B5"/>
          <w:sz w:val="26"/>
          <w:szCs w:val="26"/>
          <w:lang w:eastAsia="en-US"/>
        </w:rPr>
      </w:pPr>
      <w:bookmarkStart w:id="5" w:name="_Toc477080832"/>
      <w:bookmarkEnd w:id="5"/>
      <w:r>
        <w:rPr>
          <w:rFonts w:eastAsia="Times New Roman" w:cs="Times New Roman" w:ascii="Calibri Light" w:hAnsi="Calibri Light"/>
          <w:b/>
          <w:color w:val="2E74B5"/>
          <w:sz w:val="26"/>
          <w:szCs w:val="26"/>
          <w:lang w:eastAsia="en-US"/>
        </w:rPr>
        <w:t>Revisionshistorik</w:t>
      </w:r>
    </w:p>
    <w:p>
      <w:pPr>
        <w:pStyle w:val="Normal"/>
        <w:spacing w:lineRule="auto" w:line="259" w:before="0" w:after="160"/>
        <w:rPr/>
      </w:pPr>
      <w:r>
        <w:rPr>
          <w:rFonts w:eastAsia="Calibri" w:cs="Times New Roman"/>
          <w:sz w:val="22"/>
          <w:szCs w:val="22"/>
          <w:lang w:eastAsia="en-US"/>
        </w:rPr>
        <w:t>Version</w:t>
        <w:tab/>
        <w:t>Note</w:t>
        <w:tab/>
        <w:tab/>
        <w:tab/>
        <w:t>Dato</w:t>
        <w:tab/>
        <w:t xml:space="preserve">         Redigeret af</w:t>
      </w:r>
    </w:p>
    <w:p>
      <w:pPr>
        <w:pStyle w:val="Normal"/>
        <w:spacing w:lineRule="auto" w:line="259" w:before="0" w:after="160"/>
        <w:rPr/>
      </w:pPr>
      <w:r>
        <w:rPr>
          <w:rFonts w:eastAsia="Calibri" w:cs="Times New Roman"/>
          <w:sz w:val="22"/>
          <w:szCs w:val="22"/>
          <w:lang w:eastAsia="en-US"/>
        </w:rPr>
        <w:t>V0.9</w:t>
        <w:tab/>
        <w:t>Første udkast til skabelon</w:t>
        <w:tab/>
        <w:tab/>
        <w:t xml:space="preserve">13. marts 2017        Tor Valstrøm </w:t>
      </w:r>
    </w:p>
    <w:p>
      <w:pPr>
        <w:pStyle w:val="Normal"/>
        <w:rPr/>
      </w:pPr>
      <w:r>
        <w:rPr>
          <w:lang w:eastAsia="en-US"/>
        </w:rPr>
        <w:t>V1.00</w:t>
        <w:tab/>
        <w:t>Skabelon tilrettet Blans Vandværk</w:t>
        <w:tab/>
        <w:t>30-01-2018</w:t>
        <w:tab/>
        <w:t xml:space="preserve">         Gerda Kristensen</w:t>
      </w:r>
    </w:p>
    <w:p>
      <w:pPr>
        <w:pStyle w:val="Normal"/>
        <w:rPr/>
      </w:pPr>
      <w:r>
        <w:rPr/>
      </w:r>
    </w:p>
    <w:p>
      <w:pPr>
        <w:pStyle w:val="Normal"/>
        <w:rPr/>
      </w:pPr>
      <w:r>
        <w:rPr/>
      </w:r>
    </w:p>
    <w:sectPr>
      <w:headerReference w:type="default" r:id="rId3"/>
      <w:headerReference w:type="first" r:id="rId4"/>
      <w:footerReference w:type="default" r:id="rId5"/>
      <w:footerReference w:type="first" r:id="rId6"/>
      <w:type w:val="nextPage"/>
      <w:pgSz w:w="11906" w:h="16838"/>
      <w:pgMar w:left="1134" w:right="1558" w:header="567" w:top="655" w:footer="567"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 w:name="Calibri Ligh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95430891"/>
    </w:sdtPr>
    <w:sdtContent>
      <w:p>
        <w:pPr>
          <w:pStyle w:val="Sidefod"/>
          <w:jc w:val="right"/>
          <w:rPr/>
        </w:pPr>
        <w:r>
          <w:rPr/>
          <w:fldChar w:fldCharType="begin"/>
        </w:r>
        <w:r>
          <w:rPr/>
          <w:instrText> PAGE </w:instrText>
        </w:r>
        <w:r>
          <w:rPr/>
          <w:fldChar w:fldCharType="separate"/>
        </w:r>
        <w:r>
          <w:rPr/>
          <w:t>4</w:t>
        </w:r>
        <w:r>
          <w:rPr/>
          <w:fldChar w:fldCharType="end"/>
        </w:r>
      </w:p>
    </w:sdtContent>
  </w:sdt>
  <w:p>
    <w:pPr>
      <w:pStyle w:val="Sidefod"/>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cs="Calibri" w:cstheme="minorHAnsi"/>
        <w:b/>
        <w:b/>
        <w:color w:val="404040" w:themeColor="text1" w:themeTint="bf"/>
        <w:szCs w:val="22"/>
      </w:rPr>
    </w:pPr>
    <w:r>
      <w:rPr>
        <w:rFonts w:cs="Calibri" w:cstheme="minorHAnsi"/>
        <w:b/>
        <w:color w:val="404040" w:themeColor="text1" w:themeTint="bf"/>
        <w:szCs w:val="22"/>
      </w:rPr>
    </w:r>
  </w:p>
  <w:p>
    <w:pPr>
      <w:pStyle w:val="Normal"/>
      <w:rPr/>
    </w:pPr>
    <w:r>
      <w:rPr>
        <w:rFonts w:cs="Calibri" w:cstheme="minorHAnsi"/>
        <w:b/>
        <w:color w:val="808080" w:themeColor="background1" w:themeShade="80"/>
        <w:sz w:val="20"/>
        <w:szCs w:val="20"/>
      </w:rPr>
      <w:t xml:space="preserve">Blans Vandværk </w:t>
    </w:r>
  </w:p>
  <w:p>
    <w:pPr>
      <w:pStyle w:val="Normal"/>
      <w:rPr/>
    </w:pPr>
    <w:r>
      <w:rPr>
        <w:rFonts w:cs="Calibri" w:cstheme="minorHAnsi"/>
        <w:color w:val="808080" w:themeColor="background1" w:themeShade="80"/>
        <w:sz w:val="18"/>
        <w:szCs w:val="18"/>
      </w:rPr>
      <w:t>Blans</w:t>
      <w:tab/>
      <w:tab/>
      <w:t>BlansVV@toensberg.dk</w:t>
      <w:tab/>
      <w:tab/>
      <w:t>Tlf: 30117446</w:t>
    </w:r>
  </w:p>
  <w:p>
    <w:pPr>
      <w:pStyle w:val="Normal"/>
      <w:rPr/>
    </w:pPr>
    <w:r>
      <w:rPr>
        <w:rFonts w:cs="Calibri" w:cstheme="minorHAnsi"/>
        <w:color w:val="808080" w:themeColor="background1" w:themeShade="80"/>
        <w:sz w:val="18"/>
        <w:szCs w:val="18"/>
      </w:rPr>
      <w:t>6400 Sønderborg</w:t>
      <w:tab/>
      <w:tab/>
      <w:t>http://blans.infoland.dk/blans-vandvaerk/</w:t>
      <w:tab/>
      <w:t>CVR: 20891815</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hoved"/>
      <w:rPr/>
    </w:pPr>
    <w:r>
      <w:rPr/>
    </w:r>
  </w:p>
  <w:p>
    <w:pPr>
      <w:pStyle w:val="Sidehoved"/>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Gitter"/>
      <w:tblW w:w="10146" w:type="dxa"/>
      <w:jc w:val="left"/>
      <w:tblInd w:w="-34" w:type="dxa"/>
      <w:tblCellMar>
        <w:top w:w="0" w:type="dxa"/>
        <w:left w:w="123" w:type="dxa"/>
        <w:bottom w:w="0" w:type="dxa"/>
        <w:right w:w="108" w:type="dxa"/>
      </w:tblCellMar>
      <w:tblLook w:firstRow="1" w:noVBand="1" w:lastRow="0" w:firstColumn="1" w:lastColumn="0" w:noHBand="0" w:val="04a0"/>
    </w:tblPr>
    <w:tblGrid>
      <w:gridCol w:w="4927"/>
      <w:gridCol w:w="5218"/>
    </w:tblGrid>
    <w:tr>
      <w:trPr>
        <w:trHeight w:val="1291" w:hRule="atLeast"/>
      </w:trPr>
      <w:tc>
        <w:tcPr>
          <w:tcW w:w="4927" w:type="dxa"/>
          <w:tcBorders>
            <w:top w:val="nil"/>
            <w:left w:val="nil"/>
            <w:bottom w:val="nil"/>
            <w:right w:val="nil"/>
            <w:insideH w:val="nil"/>
            <w:insideV w:val="nil"/>
          </w:tcBorders>
          <w:shd w:fill="auto" w:val="clear"/>
        </w:tcPr>
        <w:p>
          <w:pPr>
            <w:pStyle w:val="Normal"/>
            <w:spacing w:lineRule="auto" w:line="240" w:before="0" w:after="0"/>
            <w:rPr/>
          </w:pPr>
          <w:r>
            <w:rPr/>
            <w:drawing>
              <wp:inline distT="0" distB="0" distL="0" distR="0">
                <wp:extent cx="720090" cy="74295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1"/>
                        <a:stretch>
                          <a:fillRect/>
                        </a:stretch>
                      </pic:blipFill>
                      <pic:spPr bwMode="auto">
                        <a:xfrm>
                          <a:off x="0" y="0"/>
                          <a:ext cx="720090" cy="742950"/>
                        </a:xfrm>
                        <a:prstGeom prst="rect">
                          <a:avLst/>
                        </a:prstGeom>
                      </pic:spPr>
                    </pic:pic>
                  </a:graphicData>
                </a:graphic>
              </wp:inline>
            </w:drawing>
          </w:r>
        </w:p>
      </w:tc>
      <w:tc>
        <w:tcPr>
          <w:tcW w:w="5218" w:type="dxa"/>
          <w:tcBorders>
            <w:top w:val="nil"/>
            <w:left w:val="nil"/>
            <w:bottom w:val="nil"/>
            <w:right w:val="nil"/>
            <w:insideH w:val="nil"/>
            <w:insideV w:val="nil"/>
          </w:tcBorders>
          <w:shd w:fill="auto" w:val="clear"/>
        </w:tcPr>
        <w:p>
          <w:pPr>
            <w:pStyle w:val="Sidefod"/>
            <w:tabs>
              <w:tab w:val="left" w:pos="3969" w:leader="none"/>
              <w:tab w:val="center" w:pos="4819" w:leader="none"/>
              <w:tab w:val="left" w:pos="6521" w:leader="none"/>
              <w:tab w:val="right" w:pos="9638" w:leader="none"/>
            </w:tabs>
            <w:spacing w:lineRule="auto" w:line="240" w:before="0" w:after="0"/>
            <w:jc w:val="right"/>
            <w:rPr>
              <w:rFonts w:cs="Calibri" w:cstheme="minorHAnsi"/>
              <w:color w:val="404040" w:themeColor="text1" w:themeTint="bf"/>
              <w:sz w:val="18"/>
              <w:szCs w:val="18"/>
            </w:rPr>
          </w:pPr>
          <w:r>
            <w:rPr>
              <w:rFonts w:cs="Calibri" w:cstheme="minorHAnsi"/>
              <w:color w:val="404040" w:themeColor="text1" w:themeTint="bf"/>
              <w:sz w:val="18"/>
              <w:szCs w:val="18"/>
            </w:rPr>
          </w:r>
        </w:p>
      </w:tc>
    </w:tr>
  </w:tbl>
  <w:p>
    <w:pPr>
      <w:pStyle w:val="Normal"/>
      <w:rPr>
        <w:sz w:val="18"/>
        <w:szCs w:val="18"/>
      </w:rPr>
    </w:pPr>
    <w:r>
      <w:rPr/>
      <w:tab/>
      <w:tab/>
      <w:tab/>
      <w:tab/>
      <w:tab/>
    </w:r>
    <w:r>
      <w:rPr>
        <w:sz w:val="18"/>
        <w:szCs w:val="18"/>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22"/>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2"/>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22"/>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2"/>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1304"/>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a-DK"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45925"/>
    <w:pPr>
      <w:widowControl/>
      <w:suppressAutoHyphens w:val="true"/>
      <w:bidi w:val="0"/>
      <w:spacing w:lineRule="auto" w:line="240" w:before="0" w:after="0"/>
      <w:jc w:val="left"/>
    </w:pPr>
    <w:rPr>
      <w:rFonts w:ascii="Calibri" w:hAnsi="Calibri" w:eastAsia="" w:cs="" w:eastAsiaTheme="minorEastAsia"/>
      <w:color w:val="00000A"/>
      <w:kern w:val="0"/>
      <w:sz w:val="24"/>
      <w:szCs w:val="24"/>
      <w:lang w:val="da-DK" w:eastAsia="da-DK" w:bidi="ar-SA"/>
    </w:rPr>
  </w:style>
  <w:style w:type="paragraph" w:styleId="Overskrift1">
    <w:name w:val="Heading 1"/>
    <w:basedOn w:val="Overskrift"/>
    <w:qFormat/>
    <w:pPr/>
    <w:rPr/>
  </w:style>
  <w:style w:type="paragraph" w:styleId="Overskrift2">
    <w:name w:val="Heading 2"/>
    <w:basedOn w:val="Overskrift"/>
    <w:qFormat/>
    <w:pPr/>
    <w:rPr/>
  </w:style>
  <w:style w:type="paragraph" w:styleId="Overskrift3">
    <w:name w:val="Heading 3"/>
    <w:basedOn w:val="Overskrift"/>
    <w:qFormat/>
    <w:pPr/>
    <w:rPr/>
  </w:style>
  <w:style w:type="character" w:styleId="DefaultParagraphFont" w:default="1">
    <w:name w:val="Default Paragraph Font"/>
    <w:uiPriority w:val="1"/>
    <w:semiHidden/>
    <w:unhideWhenUsed/>
    <w:qFormat/>
    <w:rPr/>
  </w:style>
  <w:style w:type="character" w:styleId="SidehovedTegn" w:customStyle="1">
    <w:name w:val="Sidehoved Tegn"/>
    <w:basedOn w:val="DefaultParagraphFont"/>
    <w:link w:val="Sidehoved"/>
    <w:uiPriority w:val="99"/>
    <w:qFormat/>
    <w:rsid w:val="00410020"/>
    <w:rPr/>
  </w:style>
  <w:style w:type="character" w:styleId="SidefodTegn" w:customStyle="1">
    <w:name w:val="Sidefod Tegn"/>
    <w:basedOn w:val="DefaultParagraphFont"/>
    <w:link w:val="Sidefod"/>
    <w:uiPriority w:val="99"/>
    <w:qFormat/>
    <w:rsid w:val="00410020"/>
    <w:rPr/>
  </w:style>
  <w:style w:type="character" w:styleId="Pagenumber">
    <w:name w:val="page number"/>
    <w:basedOn w:val="DefaultParagraphFont"/>
    <w:uiPriority w:val="11"/>
    <w:qFormat/>
    <w:rsid w:val="00410020"/>
    <w:rPr/>
  </w:style>
  <w:style w:type="character" w:styleId="MarkeringsbobletekstTegn" w:customStyle="1">
    <w:name w:val="Markeringsbobletekst Tegn"/>
    <w:basedOn w:val="DefaultParagraphFont"/>
    <w:link w:val="Markeringsbobletekst"/>
    <w:uiPriority w:val="99"/>
    <w:semiHidden/>
    <w:qFormat/>
    <w:rsid w:val="00410020"/>
    <w:rPr>
      <w:rFonts w:ascii="Tahoma" w:hAnsi="Tahoma" w:eastAsia="Times New Roman" w:cs="Tahoma"/>
      <w:sz w:val="16"/>
      <w:szCs w:val="16"/>
      <w:lang w:eastAsia="da-DK"/>
    </w:rPr>
  </w:style>
  <w:style w:type="character" w:styleId="Hyperlink">
    <w:name w:val="Hyperlink"/>
    <w:basedOn w:val="DefaultParagraphFont"/>
    <w:uiPriority w:val="99"/>
    <w:unhideWhenUsed/>
    <w:rsid w:val="00410020"/>
    <w:rPr>
      <w:color w:val="0000FF" w:themeColor="hyperlink"/>
      <w:u w:val="single"/>
    </w:rPr>
  </w:style>
  <w:style w:type="character" w:styleId="TitelTegn" w:customStyle="1">
    <w:name w:val="Titel Tegn"/>
    <w:basedOn w:val="DefaultParagraphFont"/>
    <w:link w:val="Titel"/>
    <w:uiPriority w:val="10"/>
    <w:qFormat/>
    <w:rsid w:val="00345925"/>
    <w:rPr>
      <w:rFonts w:ascii="Cambria" w:hAnsi="Cambria" w:eastAsia="" w:cs="" w:asciiTheme="majorHAnsi" w:cstheme="majorBidi" w:eastAsiaTheme="majorEastAsia" w:hAnsiTheme="majorHAnsi"/>
      <w:spacing w:val="0"/>
      <w:sz w:val="56"/>
      <w:szCs w:val="56"/>
      <w:lang w:eastAsia="da-DK"/>
    </w:rPr>
  </w:style>
  <w:style w:type="character" w:styleId="ListLabel1">
    <w:name w:val="ListLabel 1"/>
    <w:qFormat/>
    <w:rPr>
      <w:rFonts w:ascii="Calibri" w:hAnsi="Calibri" w:eastAsia="Calibri" w:cs=""/>
      <w:sz w:val="22"/>
    </w:rPr>
  </w:style>
  <w:style w:type="character" w:styleId="ListLabel2">
    <w:name w:val="ListLabel 2"/>
    <w:qFormat/>
    <w:rPr>
      <w:rFonts w:ascii="Calibri" w:hAnsi="Calibri" w:cs="Courier New"/>
      <w:sz w:val="22"/>
    </w:rPr>
  </w:style>
  <w:style w:type="character" w:styleId="ListLabel3">
    <w:name w:val="ListLabel 3"/>
    <w:qFormat/>
    <w:rPr>
      <w:rFonts w:ascii="Calibri" w:hAnsi="Calibri" w:cs=""/>
      <w:sz w:val="22"/>
    </w:rPr>
  </w:style>
  <w:style w:type="character" w:styleId="ListLabel4">
    <w:name w:val="ListLabel 4"/>
    <w:qFormat/>
    <w:rPr>
      <w:rFonts w:cs="Courier New"/>
      <w:sz w:val="22"/>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sz w:val="22"/>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sz w:val="22"/>
    </w:rPr>
  </w:style>
  <w:style w:type="character" w:styleId="ListLabel11">
    <w:name w:val="ListLabel 11"/>
    <w:qFormat/>
    <w:rPr>
      <w:rFonts w:cs="Wingdings"/>
    </w:rPr>
  </w:style>
  <w:style w:type="character" w:styleId="ListLabel12">
    <w:name w:val="ListLabel 12"/>
    <w:qFormat/>
    <w:rPr>
      <w:rFonts w:ascii="Calibri" w:hAnsi="Calibri" w:cs=""/>
      <w:sz w:val="22"/>
    </w:rPr>
  </w:style>
  <w:style w:type="character" w:styleId="ListLabel13">
    <w:name w:val="ListLabel 13"/>
    <w:qFormat/>
    <w:rPr>
      <w:rFonts w:ascii="Calibri" w:hAnsi="Calibri" w:cs="Courier New"/>
      <w:sz w:val="22"/>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sz w:val="22"/>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sz w:val="22"/>
    </w:rPr>
  </w:style>
  <w:style w:type="character" w:styleId="ListLabel20">
    <w:name w:val="ListLabel 20"/>
    <w:qFormat/>
    <w:rPr>
      <w:rFonts w:cs="Wingdings"/>
    </w:rPr>
  </w:style>
  <w:style w:type="character" w:styleId="ListLabel21">
    <w:name w:val="ListLabel 21"/>
    <w:qFormat/>
    <w:rPr>
      <w:rFonts w:ascii="Calibri" w:hAnsi="Calibri" w:cs=""/>
      <w:sz w:val="22"/>
    </w:rPr>
  </w:style>
  <w:style w:type="character" w:styleId="ListLabel22">
    <w:name w:val="ListLabel 22"/>
    <w:qFormat/>
    <w:rPr>
      <w:rFonts w:cs="Courier New"/>
      <w:sz w:val="22"/>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sz w:val="22"/>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sz w:val="22"/>
    </w:rPr>
  </w:style>
  <w:style w:type="character" w:styleId="ListLabel29">
    <w:name w:val="ListLabel 29"/>
    <w:qFormat/>
    <w:rPr>
      <w:rFonts w:cs="Wingdings"/>
    </w:rPr>
  </w:style>
  <w:style w:type="character" w:styleId="ListLabel30">
    <w:name w:val="ListLabel 30"/>
    <w:qFormat/>
    <w:rPr>
      <w:rFonts w:ascii="Calibri" w:hAnsi="Calibri" w:cs=""/>
      <w:sz w:val="22"/>
    </w:rPr>
  </w:style>
  <w:style w:type="character" w:styleId="ListLabel31">
    <w:name w:val="ListLabel 31"/>
    <w:qFormat/>
    <w:rPr>
      <w:rFonts w:ascii="Calibri" w:hAnsi="Calibri" w:cs="Courier New"/>
      <w:sz w:val="22"/>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sz w:val="22"/>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sz w:val="22"/>
    </w:rPr>
  </w:style>
  <w:style w:type="character" w:styleId="ListLabel38">
    <w:name w:val="ListLabel 38"/>
    <w:qFormat/>
    <w:rPr>
      <w:rFonts w:cs="Wingdings"/>
    </w:rPr>
  </w:style>
  <w:style w:type="character" w:styleId="ListLabel39">
    <w:name w:val="ListLabel 39"/>
    <w:qFormat/>
    <w:rPr>
      <w:rFonts w:eastAsia="Calibri" w:cs="Times New Roman"/>
      <w:color w:val="0563C1"/>
      <w:sz w:val="22"/>
      <w:szCs w:val="22"/>
      <w:u w:val="single"/>
      <w:lang w:eastAsia="en-US"/>
    </w:rPr>
  </w:style>
  <w:style w:type="character" w:styleId="ListLabel40">
    <w:name w:val="ListLabel 40"/>
    <w:qFormat/>
    <w:rPr>
      <w:rFonts w:ascii="Calibri" w:hAnsi="Calibri" w:cs=""/>
      <w:sz w:val="22"/>
    </w:rPr>
  </w:style>
  <w:style w:type="character" w:styleId="ListLabel41">
    <w:name w:val="ListLabel 41"/>
    <w:qFormat/>
    <w:rPr>
      <w:rFonts w:cs="Courier New"/>
      <w:sz w:val="22"/>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sz w:val="22"/>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sz w:val="22"/>
    </w:rPr>
  </w:style>
  <w:style w:type="character" w:styleId="ListLabel48">
    <w:name w:val="ListLabel 48"/>
    <w:qFormat/>
    <w:rPr>
      <w:rFonts w:cs="Wingdings"/>
    </w:rPr>
  </w:style>
  <w:style w:type="character" w:styleId="ListLabel49">
    <w:name w:val="ListLabel 49"/>
    <w:qFormat/>
    <w:rPr>
      <w:rFonts w:ascii="Calibri" w:hAnsi="Calibri" w:cs=""/>
      <w:sz w:val="22"/>
    </w:rPr>
  </w:style>
  <w:style w:type="character" w:styleId="ListLabel50">
    <w:name w:val="ListLabel 50"/>
    <w:qFormat/>
    <w:rPr>
      <w:rFonts w:ascii="Calibri" w:hAnsi="Calibri" w:cs="Courier New"/>
      <w:sz w:val="22"/>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sz w:val="22"/>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sz w:val="22"/>
    </w:rPr>
  </w:style>
  <w:style w:type="character" w:styleId="ListLabel57">
    <w:name w:val="ListLabel 57"/>
    <w:qFormat/>
    <w:rPr>
      <w:rFonts w:cs="Wingdings"/>
    </w:rPr>
  </w:style>
  <w:style w:type="character" w:styleId="ListLabel58">
    <w:name w:val="ListLabel 58"/>
    <w:qFormat/>
    <w:rPr>
      <w:rFonts w:eastAsia="Calibri" w:cs="Times New Roman"/>
      <w:color w:val="0563C1"/>
      <w:sz w:val="22"/>
      <w:szCs w:val="22"/>
      <w:u w:val="single"/>
      <w:lang w:eastAsia="en-US"/>
    </w:rPr>
  </w:style>
  <w:style w:type="paragraph" w:styleId="Overskrift">
    <w:name w:val="Overskrift"/>
    <w:basedOn w:val="Normal"/>
    <w:next w:val="Brdtekst"/>
    <w:qFormat/>
    <w:pPr>
      <w:keepNext w:val="true"/>
      <w:spacing w:before="240" w:after="120"/>
    </w:pPr>
    <w:rPr>
      <w:rFonts w:ascii="Liberation Sans" w:hAnsi="Liberation Sans" w:eastAsia="Microsoft YaHei" w:cs="Mangal"/>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Mangal"/>
    </w:rPr>
  </w:style>
  <w:style w:type="paragraph" w:styleId="Billedtekst">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idehoved">
    <w:name w:val="Header"/>
    <w:basedOn w:val="Normal"/>
    <w:link w:val="SidehovedTegn"/>
    <w:uiPriority w:val="99"/>
    <w:unhideWhenUsed/>
    <w:rsid w:val="00410020"/>
    <w:pPr>
      <w:tabs>
        <w:tab w:val="center" w:pos="4819" w:leader="none"/>
        <w:tab w:val="right" w:pos="9638" w:leader="none"/>
      </w:tabs>
    </w:pPr>
    <w:rPr>
      <w:rFonts w:eastAsia="Calibri" w:eastAsiaTheme="minorHAnsi"/>
      <w:szCs w:val="22"/>
      <w:lang w:eastAsia="en-US"/>
    </w:rPr>
  </w:style>
  <w:style w:type="paragraph" w:styleId="Sidefod">
    <w:name w:val="Footer"/>
    <w:basedOn w:val="Normal"/>
    <w:link w:val="SidefodTegn"/>
    <w:uiPriority w:val="99"/>
    <w:unhideWhenUsed/>
    <w:rsid w:val="00410020"/>
    <w:pPr>
      <w:tabs>
        <w:tab w:val="center" w:pos="4819" w:leader="none"/>
        <w:tab w:val="right" w:pos="9638" w:leader="none"/>
      </w:tabs>
    </w:pPr>
    <w:rPr>
      <w:rFonts w:eastAsia="Calibri" w:eastAsiaTheme="minorHAnsi"/>
      <w:szCs w:val="22"/>
      <w:lang w:eastAsia="en-US"/>
    </w:rPr>
  </w:style>
  <w:style w:type="paragraph" w:styleId="BalloonText">
    <w:name w:val="Balloon Text"/>
    <w:basedOn w:val="Normal"/>
    <w:link w:val="MarkeringsbobletekstTegn"/>
    <w:uiPriority w:val="99"/>
    <w:semiHidden/>
    <w:unhideWhenUsed/>
    <w:qFormat/>
    <w:rsid w:val="00410020"/>
    <w:pPr/>
    <w:rPr>
      <w:rFonts w:ascii="Tahoma" w:hAnsi="Tahoma" w:cs="Tahoma"/>
      <w:sz w:val="16"/>
      <w:szCs w:val="16"/>
    </w:rPr>
  </w:style>
  <w:style w:type="paragraph" w:styleId="Titel">
    <w:name w:val="Title"/>
    <w:basedOn w:val="Normal"/>
    <w:next w:val="Normal"/>
    <w:link w:val="TitelTegn"/>
    <w:uiPriority w:val="10"/>
    <w:qFormat/>
    <w:rsid w:val="00345925"/>
    <w:pPr>
      <w:spacing w:before="0" w:after="0"/>
      <w:contextualSpacing/>
    </w:pPr>
    <w:rPr>
      <w:rFonts w:ascii="Cambria" w:hAnsi="Cambria" w:eastAsia="" w:cs="" w:asciiTheme="majorHAnsi" w:cstheme="majorBidi" w:eastAsiaTheme="majorEastAsia" w:hAnsiTheme="majorHAnsi"/>
      <w:spacing w:val="0"/>
      <w:sz w:val="56"/>
      <w:szCs w:val="56"/>
    </w:rPr>
  </w:style>
  <w:style w:type="paragraph" w:styleId="Citater">
    <w:name w:val="Citater"/>
    <w:basedOn w:val="Normal"/>
    <w:qFormat/>
    <w:pPr/>
    <w:rPr/>
  </w:style>
  <w:style w:type="paragraph" w:styleId="Undertitel">
    <w:name w:val="Subtitle"/>
    <w:basedOn w:val="Overskrift"/>
    <w:qFormat/>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styleId="Tabel-Gitter">
    <w:name w:val="Table Grid"/>
    <w:basedOn w:val="Tabel-Normal"/>
    <w:uiPriority w:val="59"/>
    <w:rsid w:val="004100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atatilsynet.dk/borger/klage-til-datatilsyne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Brevpapir_Medlem af DV</Template>
  <TotalTime>79</TotalTime>
  <Application>LibreOffice/6.0.1.1$Windows_x86 LibreOffice_project/60bfb1526849283ce2491346ed2aa51c465abfe6</Application>
  <Pages>4</Pages>
  <Words>970</Words>
  <Characters>6352</Characters>
  <CharactersWithSpaces>7277</CharactersWithSpaces>
  <Paragraphs>67</Paragraphs>
  <Company>Systemhosting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2017-06-22T07:03:00Z</dcterms:created>
  <dc:creator>Mette Kingod</dc:creator>
  <dc:description/>
  <dc:language>da-DK</dc:language>
  <cp:lastModifiedBy/>
  <dcterms:modified xsi:type="dcterms:W3CDTF">2018-07-05T08:39:32Z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Systemhosting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